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F7532" w14:textId="1DD2B077" w:rsidR="00B01443" w:rsidRPr="00B01443" w:rsidRDefault="003F3D8C" w:rsidP="00B01443">
      <w:pPr>
        <w:shd w:val="clear" w:color="auto" w:fill="FFFFFF"/>
        <w:spacing w:before="480"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4092A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B597FDE" wp14:editId="54055C55">
            <wp:simplePos x="0" y="0"/>
            <wp:positionH relativeFrom="column">
              <wp:posOffset>2672715</wp:posOffset>
            </wp:positionH>
            <wp:positionV relativeFrom="paragraph">
              <wp:posOffset>308610</wp:posOffset>
            </wp:positionV>
            <wp:extent cx="3254375" cy="2170743"/>
            <wp:effectExtent l="0" t="0" r="3175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C6A9936.web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2170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1443"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7 июня 2024 года </w:t>
      </w:r>
      <w:r w:rsidR="00B01443" w:rsidRPr="00B01443">
        <w:rPr>
          <w:rFonts w:ascii="Times New Roman" w:hAnsi="Times New Roman" w:cs="Times New Roman"/>
          <w:color w:val="000000"/>
          <w:sz w:val="28"/>
          <w:szCs w:val="28"/>
        </w:rPr>
        <w:t>председатель Контрольно-счетной палаты Находкинского ГО Дмитри</w:t>
      </w:r>
      <w:r w:rsidR="00B0144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01443" w:rsidRPr="00B01443">
        <w:rPr>
          <w:rFonts w:ascii="Times New Roman" w:hAnsi="Times New Roman" w:cs="Times New Roman"/>
          <w:color w:val="000000"/>
          <w:sz w:val="28"/>
          <w:szCs w:val="28"/>
        </w:rPr>
        <w:t xml:space="preserve"> Малявин</w:t>
      </w:r>
      <w:r w:rsidR="00B01443">
        <w:rPr>
          <w:rFonts w:ascii="Times New Roman" w:hAnsi="Times New Roman" w:cs="Times New Roman"/>
          <w:color w:val="000000"/>
          <w:sz w:val="28"/>
          <w:szCs w:val="28"/>
        </w:rPr>
        <w:t xml:space="preserve"> принял участие во </w:t>
      </w:r>
      <w:r w:rsidR="00B01443"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Всероссийск</w:t>
      </w:r>
      <w:r w:rsid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ой</w:t>
      </w:r>
      <w:r w:rsidR="00B01443"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Конференци</w:t>
      </w:r>
      <w:r w:rsid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и</w:t>
      </w:r>
      <w:r w:rsidR="00B01443"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Союза МКСО на тему «Совершенствование качества мероприятий внешнего муниципального финансового контроля»</w:t>
      </w:r>
      <w:r w:rsid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</w:t>
      </w:r>
      <w:r w:rsidR="00B01443"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в Екатеринбурге</w:t>
      </w:r>
      <w:r w:rsid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.</w:t>
      </w:r>
    </w:p>
    <w:p w14:paraId="3E3FBA48" w14:textId="77777777" w:rsidR="00B01443" w:rsidRPr="00B01443" w:rsidRDefault="00B01443" w:rsidP="00B01443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В работе конференции по приглашению Председателя Союза МКСО, председателя КСП Волгограда </w:t>
      </w:r>
      <w:r w:rsidRPr="00B01443">
        <w:rPr>
          <w:rFonts w:ascii="Times New Roman" w:eastAsia="Times New Roman" w:hAnsi="Times New Roman" w:cs="Times New Roman"/>
          <w:b/>
          <w:bCs/>
          <w:color w:val="04092A"/>
          <w:sz w:val="28"/>
          <w:szCs w:val="28"/>
          <w:lang w:eastAsia="ru-RU"/>
        </w:rPr>
        <w:t>Александра Мордвинцева</w:t>
      </w:r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 приняли участие аудитор Счетной палаты Российской Федерации </w:t>
      </w:r>
      <w:r w:rsidRPr="00B01443">
        <w:rPr>
          <w:rFonts w:ascii="Times New Roman" w:eastAsia="Times New Roman" w:hAnsi="Times New Roman" w:cs="Times New Roman"/>
          <w:b/>
          <w:bCs/>
          <w:color w:val="04092A"/>
          <w:sz w:val="28"/>
          <w:szCs w:val="28"/>
          <w:lang w:eastAsia="ru-RU"/>
        </w:rPr>
        <w:t xml:space="preserve">Сергей </w:t>
      </w:r>
      <w:proofErr w:type="spellStart"/>
      <w:r w:rsidRPr="00B01443">
        <w:rPr>
          <w:rFonts w:ascii="Times New Roman" w:eastAsia="Times New Roman" w:hAnsi="Times New Roman" w:cs="Times New Roman"/>
          <w:b/>
          <w:bCs/>
          <w:color w:val="04092A"/>
          <w:sz w:val="28"/>
          <w:szCs w:val="28"/>
          <w:lang w:eastAsia="ru-RU"/>
        </w:rPr>
        <w:t>Штогрин</w:t>
      </w:r>
      <w:proofErr w:type="spellEnd"/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 и заместитель директора Департамента исследований и методологии СП РФ – начальник отдела внешнего государственного аудита и качества мероприятий </w:t>
      </w:r>
      <w:r w:rsidRPr="00B01443">
        <w:rPr>
          <w:rFonts w:ascii="Times New Roman" w:eastAsia="Times New Roman" w:hAnsi="Times New Roman" w:cs="Times New Roman"/>
          <w:b/>
          <w:bCs/>
          <w:color w:val="04092A"/>
          <w:sz w:val="28"/>
          <w:szCs w:val="28"/>
          <w:lang w:eastAsia="ru-RU"/>
        </w:rPr>
        <w:t>Юлия Яковлева</w:t>
      </w:r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.</w:t>
      </w:r>
    </w:p>
    <w:p w14:paraId="2DDA420F" w14:textId="77777777" w:rsidR="00B01443" w:rsidRPr="00B01443" w:rsidRDefault="00B01443" w:rsidP="00B01443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В приветственном слове Сергей </w:t>
      </w:r>
      <w:proofErr w:type="spellStart"/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Штогрин</w:t>
      </w:r>
      <w:proofErr w:type="spellEnd"/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 отметил, что 7 мая 2024 года Президент России подписал Указ № 309 «О национальных целях развития Российской Федерации на период до 2030 года и на перспективу до 2036 года.</w:t>
      </w:r>
    </w:p>
    <w:p w14:paraId="2925147D" w14:textId="77777777" w:rsidR="00B01443" w:rsidRPr="00B01443" w:rsidRDefault="00B01443" w:rsidP="00B01443">
      <w:pPr>
        <w:shd w:val="clear" w:color="auto" w:fill="FFFFFF"/>
        <w:spacing w:before="480" w:after="10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B01443">
        <w:rPr>
          <w:rFonts w:ascii="Times New Roman" w:eastAsia="Times New Roman" w:hAnsi="Times New Roman" w:cs="Times New Roman"/>
          <w:i/>
          <w:iCs/>
          <w:color w:val="04092A"/>
          <w:sz w:val="28"/>
          <w:szCs w:val="28"/>
          <w:lang w:eastAsia="ru-RU"/>
        </w:rPr>
        <w:t>«На Счетную палату Российской Федерации и контрольно-счетные органы субъектов Российской Федерации и муниципальных образований, то есть на всю систему внешнего государственного и муниципального финансового контроля это накладывает дополнительную ответственность. Наша слаженная и результативная работа между собой, с другими органами государственной власти и местного самоуправления, учет мнения и ожиданий общества являются одним из ключевых элементов в государственном механизме достижения поставленных Президентом целей. Мы должны стремиться к повышению качества мероприятий внешнего финансового контроля, должны быть нацелены на анализ проблем и нарушений»</w:t>
      </w:r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, – подчеркнул он.</w:t>
      </w:r>
    </w:p>
    <w:p w14:paraId="3DCAF23A" w14:textId="00045052" w:rsidR="00B01443" w:rsidRPr="00B01443" w:rsidRDefault="00B01443" w:rsidP="003F3D8C">
      <w:pPr>
        <w:spacing w:after="0" w:line="240" w:lineRule="auto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shd w:val="clear" w:color="auto" w:fill="FFFFFF"/>
          <w:lang w:eastAsia="ru-RU"/>
        </w:rPr>
        <w:t>Доклад аудитора был посвящен практике осуществления Счетной палатой Российской Федерации финансового аудита и возможностям повышения доходов муниципальных образований.</w:t>
      </w:r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br/>
      </w:r>
      <w:bookmarkStart w:id="0" w:name="_GoBack"/>
      <w:bookmarkEnd w:id="0"/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Были приведены выявленные СП РФ конкретные примеры системных нарушений при формировании и исполнении бюджетов, ведении бухгалтерского учета, составлении и ведении бухгалтерской (финансовой) отчетности, а также в сфере управления и распоряжения имуществом, госзакупок. Был дан обзор проверок, в ходе которых выявлено низкое качество администрирования доходов по земельному налогу, налогу на имущество физических лиц и налогу на имущество организаций.</w:t>
      </w:r>
    </w:p>
    <w:p w14:paraId="2DBB6F4B" w14:textId="77777777" w:rsidR="00B01443" w:rsidRPr="00B01443" w:rsidRDefault="00B01443" w:rsidP="00B01443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lastRenderedPageBreak/>
        <w:t xml:space="preserve">Бюджетная обеспеченность муниципалитетов может быть повышена за счет роста их налогового потенциала, отметил Сергей </w:t>
      </w:r>
      <w:proofErr w:type="spellStart"/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Штогрин</w:t>
      </w:r>
      <w:proofErr w:type="spellEnd"/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. С 2021 года началась реализация мероприятий в сфере регистрации объектов недвижимости. Данная работа способна обеспечить рост собираемости земельного налога и налога на имущество физических лиц. Муниципальные контрольно-счетные органы в рамках своих полномочий могут оценивать эффективность деятельности муниципалитетов по выявлению собственников ранее учтенных объектов недвижимости и направлению информации в Росреестр с целью внесения в ЕГРН соответствующих сведений.</w:t>
      </w:r>
    </w:p>
    <w:p w14:paraId="0AA94A05" w14:textId="77777777" w:rsidR="00B01443" w:rsidRPr="00B01443" w:rsidRDefault="00B01443" w:rsidP="00B01443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В качестве примера повышения доходов на муниципальном уровне был приведен опыт города Элисты. В 2019–2023 годах рост поступлений от отдельных налогов и арендной платы на землю здесь составил по НДФЛ – в 1,9 раза, по налогу на имущество физических лиц – в 2,5 раза, по налогу в связи с применением упрощенной системы налогообложения – в 5,8 раза, сборы арендной платы за землю выросли с 42 % в 2019 году до 103 % в 2023 году от плана. В результате собственные доходы города Элисты выросли в 2 раза.</w:t>
      </w:r>
    </w:p>
    <w:p w14:paraId="1B895705" w14:textId="77777777" w:rsidR="00B01443" w:rsidRPr="00B01443" w:rsidRDefault="00B01443" w:rsidP="00B01443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Аудитор также отметил, что эффективным механизмом повышения качества внешнего финансового контроля на муниципальном уровне является взаимодействие представителей Союза МКСО с Советом контрольно-счетных органов при Счетной палате Российской Федерации. </w:t>
      </w:r>
      <w:r w:rsidRPr="00B01443">
        <w:rPr>
          <w:rFonts w:ascii="Times New Roman" w:eastAsia="Times New Roman" w:hAnsi="Times New Roman" w:cs="Times New Roman"/>
          <w:i/>
          <w:iCs/>
          <w:color w:val="04092A"/>
          <w:sz w:val="28"/>
          <w:szCs w:val="28"/>
          <w:lang w:eastAsia="ru-RU"/>
        </w:rPr>
        <w:t>«Объединяя знания и усилия, мы сможем достичь большего»</w:t>
      </w:r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, – подчеркнул Сергей </w:t>
      </w:r>
      <w:proofErr w:type="spellStart"/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Штогрин</w:t>
      </w:r>
      <w:proofErr w:type="spellEnd"/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.</w:t>
      </w:r>
    </w:p>
    <w:p w14:paraId="7EDC0CF1" w14:textId="77777777" w:rsidR="00B01443" w:rsidRPr="00B01443" w:rsidRDefault="00B01443" w:rsidP="00B01443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Систему управления качеством контрольных и экспертно-аналитических мероприятий СП </w:t>
      </w:r>
      <w:r w:rsidRPr="00B01443">
        <w:rPr>
          <w:rFonts w:ascii="Times New Roman" w:eastAsia="Times New Roman" w:hAnsi="Times New Roman" w:cs="Times New Roman"/>
          <w:i/>
          <w:iCs/>
          <w:color w:val="04092A"/>
          <w:sz w:val="28"/>
          <w:szCs w:val="28"/>
          <w:lang w:eastAsia="ru-RU"/>
        </w:rPr>
        <w:t>РФ</w:t>
      </w:r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 представила Юлия Яковлева. Основой, определяющей требования к качеству мероприятий СП РФ, являются стандарты и иные внутренние нормативные и методические документы.</w:t>
      </w:r>
    </w:p>
    <w:p w14:paraId="5AE9673F" w14:textId="77777777" w:rsidR="00B01443" w:rsidRPr="00B01443" w:rsidRDefault="00B01443" w:rsidP="00B01443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Департамент исследований и методологии СП РФ регулярно актуализирует стандарты с учетом положений международных стандартов в области внешнего государственного аудита, результатов опросов Государственной Думы и Совета Федерации, как основных заинтересованных пользователей отчетов СП РФ, а также практики применения стандартов инспекторским составом СП РФ.</w:t>
      </w:r>
    </w:p>
    <w:p w14:paraId="472AB2BA" w14:textId="77777777" w:rsidR="00B01443" w:rsidRPr="00B01443" w:rsidRDefault="00B01443" w:rsidP="00B01443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В СП РФ</w:t>
      </w:r>
      <w:r w:rsidRPr="00B01443">
        <w:rPr>
          <w:rFonts w:ascii="Times New Roman" w:eastAsia="Times New Roman" w:hAnsi="Times New Roman" w:cs="Times New Roman"/>
          <w:i/>
          <w:iCs/>
          <w:color w:val="04092A"/>
          <w:sz w:val="28"/>
          <w:szCs w:val="28"/>
          <w:lang w:eastAsia="ru-RU"/>
        </w:rPr>
        <w:t> </w:t>
      </w:r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внедряются различные инструменты для повышения качества мероприятий. Одним из них является матрица дизайна, составление которой позволяет избежать логических разрывов между элементами мероприятия и снижает риски формулирования необоснованных выводов и рекомендаций.</w:t>
      </w:r>
    </w:p>
    <w:p w14:paraId="4C17776A" w14:textId="77777777" w:rsidR="00B01443" w:rsidRPr="00B01443" w:rsidRDefault="00B01443" w:rsidP="00B01443">
      <w:pPr>
        <w:shd w:val="clear" w:color="auto" w:fill="FFFFFF"/>
        <w:spacing w:before="480" w:after="10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B01443">
        <w:rPr>
          <w:rFonts w:ascii="Times New Roman" w:eastAsia="Times New Roman" w:hAnsi="Times New Roman" w:cs="Times New Roman"/>
          <w:i/>
          <w:iCs/>
          <w:color w:val="04092A"/>
          <w:sz w:val="28"/>
          <w:szCs w:val="28"/>
          <w:lang w:eastAsia="ru-RU"/>
        </w:rPr>
        <w:t xml:space="preserve">«Составление матрицы дизайна необходимо при подготовке к мероприятию, цели которого предполагают проведение сложных аналитических процедур (например, когда необходимо оценить влияние непосредственных результатов реализации программы или проекта на достижение конечных </w:t>
      </w:r>
      <w:r w:rsidRPr="00B01443">
        <w:rPr>
          <w:rFonts w:ascii="Times New Roman" w:eastAsia="Times New Roman" w:hAnsi="Times New Roman" w:cs="Times New Roman"/>
          <w:i/>
          <w:iCs/>
          <w:color w:val="04092A"/>
          <w:sz w:val="28"/>
          <w:szCs w:val="28"/>
          <w:lang w:eastAsia="ru-RU"/>
        </w:rPr>
        <w:lastRenderedPageBreak/>
        <w:t>результатов или итоговых эффектов). Но также составление дизайна улучшает качество проработки более простых с точки зрения методологии мероприятий»</w:t>
      </w:r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.</w:t>
      </w:r>
    </w:p>
    <w:p w14:paraId="533E923A" w14:textId="77777777" w:rsidR="00B01443" w:rsidRDefault="00B01443" w:rsidP="00B01443">
      <w:pPr>
        <w:spacing w:after="0" w:line="240" w:lineRule="auto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shd w:val="clear" w:color="auto" w:fill="FFFFFF"/>
          <w:lang w:eastAsia="ru-RU"/>
        </w:rPr>
        <w:t>Также в ходе доклада были представлены практики осуществления в СП РФ контроля качества соблюдения установленных требований, правил и процедур при проведении мероприятий СП РФ и оформлении результатов их проведения.</w:t>
      </w:r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br/>
      </w:r>
    </w:p>
    <w:p w14:paraId="145D9020" w14:textId="2E92DD3F" w:rsidR="00B01443" w:rsidRPr="00B01443" w:rsidRDefault="00B01443" w:rsidP="00B01443">
      <w:pPr>
        <w:spacing w:after="0" w:line="240" w:lineRule="auto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Открытость в деятельности контрольно-счетных органов стала темой выступления председателя КСП Челябинской области </w:t>
      </w:r>
      <w:r w:rsidRPr="00B01443">
        <w:rPr>
          <w:rFonts w:ascii="Times New Roman" w:eastAsia="Times New Roman" w:hAnsi="Times New Roman" w:cs="Times New Roman"/>
          <w:b/>
          <w:bCs/>
          <w:color w:val="04092A"/>
          <w:sz w:val="28"/>
          <w:szCs w:val="28"/>
          <w:lang w:eastAsia="ru-RU"/>
        </w:rPr>
        <w:t xml:space="preserve">Алексея </w:t>
      </w:r>
      <w:proofErr w:type="spellStart"/>
      <w:r w:rsidRPr="00B01443">
        <w:rPr>
          <w:rFonts w:ascii="Times New Roman" w:eastAsia="Times New Roman" w:hAnsi="Times New Roman" w:cs="Times New Roman"/>
          <w:b/>
          <w:bCs/>
          <w:color w:val="04092A"/>
          <w:sz w:val="28"/>
          <w:szCs w:val="28"/>
          <w:lang w:eastAsia="ru-RU"/>
        </w:rPr>
        <w:t>Лошкина</w:t>
      </w:r>
      <w:proofErr w:type="spellEnd"/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. </w:t>
      </w:r>
    </w:p>
    <w:p w14:paraId="646EDACA" w14:textId="77777777" w:rsidR="00B01443" w:rsidRPr="00B01443" w:rsidRDefault="00B01443" w:rsidP="00B01443">
      <w:pPr>
        <w:shd w:val="clear" w:color="auto" w:fill="FFFFFF"/>
        <w:spacing w:before="480" w:after="10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B01443">
        <w:rPr>
          <w:rFonts w:ascii="Times New Roman" w:eastAsia="Times New Roman" w:hAnsi="Times New Roman" w:cs="Times New Roman"/>
          <w:i/>
          <w:iCs/>
          <w:color w:val="04092A"/>
          <w:sz w:val="28"/>
          <w:szCs w:val="28"/>
          <w:lang w:eastAsia="ru-RU"/>
        </w:rPr>
        <w:t>«Повышение уровня открытости как экономической категории в деятельности объектов контроля, органов власти и государства в целом – все это влияет на экономический рост, снижает коррупционные проявления»</w:t>
      </w:r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, – отметил Алексей </w:t>
      </w:r>
      <w:proofErr w:type="spellStart"/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Лошкин</w:t>
      </w:r>
      <w:proofErr w:type="spellEnd"/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. </w:t>
      </w:r>
    </w:p>
    <w:p w14:paraId="0BCC55F2" w14:textId="77777777" w:rsidR="00B01443" w:rsidRPr="00B01443" w:rsidRDefault="00B01443" w:rsidP="00B01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shd w:val="clear" w:color="auto" w:fill="FFFFFF"/>
          <w:lang w:eastAsia="ru-RU"/>
        </w:rPr>
        <w:t>Были представлены методика и результаты исследований открытости органов исполнительной власти региона и муниципалитетов, которые уже дважды провела КСП Челябинской области по аналогии с </w:t>
      </w:r>
      <w:hyperlink r:id="rId5" w:history="1">
        <w:r w:rsidRPr="00B01443">
          <w:rPr>
            <w:rFonts w:ascii="Times New Roman" w:eastAsia="Times New Roman" w:hAnsi="Times New Roman" w:cs="Times New Roman"/>
            <w:color w:val="0050B2"/>
            <w:sz w:val="28"/>
            <w:szCs w:val="28"/>
            <w:u w:val="single"/>
            <w:shd w:val="clear" w:color="auto" w:fill="FFFFFF"/>
            <w:lang w:eastAsia="ru-RU"/>
          </w:rPr>
          <w:t>исследованиями уровня открытости федеральных органов власти</w:t>
        </w:r>
      </w:hyperlink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shd w:val="clear" w:color="auto" w:fill="FFFFFF"/>
          <w:lang w:eastAsia="ru-RU"/>
        </w:rPr>
        <w:t>, проводимыми Счетной палатой Российской Федерации.</w:t>
      </w:r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br/>
      </w:r>
    </w:p>
    <w:p w14:paraId="3909E13B" w14:textId="77777777" w:rsidR="00B01443" w:rsidRPr="00B01443" w:rsidRDefault="00B01443" w:rsidP="00B01443">
      <w:pPr>
        <w:shd w:val="clear" w:color="auto" w:fill="FFFFFF"/>
        <w:spacing w:before="480" w:after="10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B01443">
        <w:rPr>
          <w:rFonts w:ascii="Times New Roman" w:eastAsia="Times New Roman" w:hAnsi="Times New Roman" w:cs="Times New Roman"/>
          <w:i/>
          <w:iCs/>
          <w:color w:val="04092A"/>
          <w:sz w:val="28"/>
          <w:szCs w:val="28"/>
          <w:lang w:eastAsia="ru-RU"/>
        </w:rPr>
        <w:t>«Контрольно-счетные органы в своей работе также должны руководствоваться следующими принципами: от открытости переходить к понятности, от понятности – к доверию, от доверия – к принятию решений»</w:t>
      </w:r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 xml:space="preserve">, – резюмировал Алексей </w:t>
      </w:r>
      <w:proofErr w:type="spellStart"/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Лошкин</w:t>
      </w:r>
      <w:proofErr w:type="spellEnd"/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.</w:t>
      </w:r>
    </w:p>
    <w:p w14:paraId="4B1276BD" w14:textId="77777777" w:rsidR="00B01443" w:rsidRPr="00B01443" w:rsidRDefault="00B01443" w:rsidP="00B01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shd w:val="clear" w:color="auto" w:fill="FFFFFF"/>
          <w:lang w:eastAsia="ru-RU"/>
        </w:rPr>
        <w:t>Практики совершенствования качества мероприятий внешнего муниципального финансового контроля представили контрольно-счетные органы Кирова, Курска, Саратова, Красноярска, Воронежа, Сургута, Вятскополянского района Кировской области.</w:t>
      </w:r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br/>
      </w:r>
    </w:p>
    <w:p w14:paraId="1E62167D" w14:textId="77777777" w:rsidR="00B01443" w:rsidRPr="00B01443" w:rsidRDefault="00B01443" w:rsidP="00B01443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</w:pPr>
      <w:r w:rsidRPr="00B01443">
        <w:rPr>
          <w:rFonts w:ascii="Times New Roman" w:eastAsia="Times New Roman" w:hAnsi="Times New Roman" w:cs="Times New Roman"/>
          <w:color w:val="04092A"/>
          <w:sz w:val="28"/>
          <w:szCs w:val="28"/>
          <w:lang w:eastAsia="ru-RU"/>
        </w:rPr>
        <w:t>В работе конференции приняли участие руководители и представители контрольно-счетных органов республик Алтай, Башкортостан, Бурятия, Татарстан, Донецкой Народной Республики, Астраханской, Владимирской, Ленинградской, Челябинской, Тюменской областей, Ханты-Мансийского автономного округа – Югры, Департамента международного и регионального сотрудничества СП РФ.</w:t>
      </w:r>
    </w:p>
    <w:p w14:paraId="4E08F533" w14:textId="60F181DE" w:rsidR="00ED3FF3" w:rsidRDefault="00ED3FF3" w:rsidP="00B014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C0FFF4F" w14:textId="633C181F" w:rsidR="003F3D8C" w:rsidRPr="00B01443" w:rsidRDefault="003F3D8C" w:rsidP="003F3D8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07.06.2024г.</w:t>
      </w:r>
    </w:p>
    <w:sectPr w:rsidR="003F3D8C" w:rsidRPr="00B0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85"/>
    <w:rsid w:val="003F3D8C"/>
    <w:rsid w:val="00B01443"/>
    <w:rsid w:val="00B22B85"/>
    <w:rsid w:val="00ED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CD9D"/>
  <w15:chartTrackingRefBased/>
  <w15:docId w15:val="{7EE6448D-54C5-4A11-AD7B-2E5B0E4A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1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1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1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h.gov.ru/page/government-openness?highlight-search-result=%D0%98%D0%A1%D0%A1%D0%9B%D0%95%D0%94%D0%9E%D0%92%D0%90%D0%9D&amp;highlight-search-result=%D0%9E%D0%A2%D0%9A%D0%A0%D0%AB%D0%A2" TargetMode="External"/><Relationship Id="rId4" Type="http://schemas.openxmlformats.org/officeDocument/2006/relationships/image" Target="media/image1.web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1008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Малявин</dc:creator>
  <cp:keywords/>
  <dc:description/>
  <cp:lastModifiedBy>Дмитрий С. Малявин</cp:lastModifiedBy>
  <cp:revision>3</cp:revision>
  <dcterms:created xsi:type="dcterms:W3CDTF">2025-05-12T23:17:00Z</dcterms:created>
  <dcterms:modified xsi:type="dcterms:W3CDTF">2025-05-12T23:27:00Z</dcterms:modified>
</cp:coreProperties>
</file>